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081" w:rsidRPr="0023522A" w:rsidRDefault="00D12081" w:rsidP="00D12081">
      <w:pPr>
        <w:spacing w:before="120" w:after="120"/>
        <w:rPr>
          <w:rFonts w:ascii="Times New Roman" w:hAnsi="Times New Roman" w:cs="Times New Roman"/>
          <w:b/>
          <w:sz w:val="24"/>
          <w:szCs w:val="24"/>
        </w:rPr>
      </w:pPr>
      <w:r w:rsidRPr="0023522A">
        <w:rPr>
          <w:rFonts w:ascii="Times New Roman" w:hAnsi="Times New Roman" w:cs="Times New Roman"/>
          <w:b/>
          <w:sz w:val="24"/>
          <w:szCs w:val="24"/>
        </w:rPr>
        <w:t>Dynamique des postures de chercheurs-engagés</w:t>
      </w:r>
      <w:r>
        <w:rPr>
          <w:rFonts w:ascii="Times New Roman" w:hAnsi="Times New Roman" w:cs="Times New Roman"/>
          <w:b/>
          <w:sz w:val="24"/>
          <w:szCs w:val="24"/>
        </w:rPr>
        <w:t xml:space="preserve"> </w:t>
      </w:r>
      <w:r w:rsidRPr="0023522A">
        <w:rPr>
          <w:rFonts w:ascii="Times New Roman" w:hAnsi="Times New Roman" w:cs="Times New Roman"/>
          <w:b/>
          <w:sz w:val="24"/>
          <w:szCs w:val="24"/>
        </w:rPr>
        <w:t xml:space="preserve">: </w:t>
      </w:r>
    </w:p>
    <w:p w:rsidR="00D12081" w:rsidRPr="0023522A" w:rsidRDefault="00D12081" w:rsidP="00D12081">
      <w:pPr>
        <w:spacing w:before="120" w:after="120"/>
        <w:rPr>
          <w:rFonts w:ascii="Times New Roman" w:hAnsi="Times New Roman" w:cs="Times New Roman"/>
          <w:b/>
          <w:sz w:val="24"/>
          <w:szCs w:val="24"/>
        </w:rPr>
      </w:pPr>
      <w:r w:rsidRPr="0023522A">
        <w:rPr>
          <w:rFonts w:ascii="Times New Roman" w:hAnsi="Times New Roman" w:cs="Times New Roman"/>
          <w:b/>
          <w:sz w:val="24"/>
          <w:szCs w:val="24"/>
        </w:rPr>
        <w:t>Retours sur la participation dans les politiques de l’eau au Burkina Faso</w:t>
      </w:r>
    </w:p>
    <w:p w:rsidR="00D12081" w:rsidRPr="0023522A" w:rsidRDefault="00D12081" w:rsidP="00D12081">
      <w:pPr>
        <w:spacing w:before="120" w:after="120"/>
        <w:rPr>
          <w:rFonts w:ascii="Times New Roman" w:hAnsi="Times New Roman" w:cs="Times New Roman"/>
          <w:b/>
          <w:sz w:val="24"/>
          <w:szCs w:val="24"/>
        </w:rPr>
      </w:pPr>
    </w:p>
    <w:p w:rsidR="00D12081" w:rsidRPr="0023522A" w:rsidRDefault="00D12081" w:rsidP="00D12081">
      <w:pPr>
        <w:spacing w:before="120" w:after="120"/>
        <w:rPr>
          <w:rFonts w:ascii="Times New Roman" w:hAnsi="Times New Roman" w:cs="Times New Roman"/>
          <w:b/>
          <w:sz w:val="24"/>
          <w:szCs w:val="24"/>
          <w:lang w:val="en-US"/>
        </w:rPr>
      </w:pPr>
      <w:r w:rsidRPr="0023522A">
        <w:rPr>
          <w:rFonts w:ascii="Times New Roman" w:hAnsi="Times New Roman" w:cs="Times New Roman"/>
          <w:b/>
          <w:sz w:val="24"/>
          <w:szCs w:val="24"/>
          <w:lang w:val="en-US"/>
        </w:rPr>
        <w:t xml:space="preserve">How researchers change their stances: </w:t>
      </w:r>
    </w:p>
    <w:p w:rsidR="00D12081" w:rsidRPr="0023522A" w:rsidRDefault="00D12081" w:rsidP="00D12081">
      <w:pPr>
        <w:spacing w:before="120" w:after="120"/>
        <w:rPr>
          <w:rFonts w:ascii="Times New Roman" w:hAnsi="Times New Roman" w:cs="Times New Roman"/>
          <w:b/>
          <w:sz w:val="24"/>
          <w:szCs w:val="24"/>
          <w:lang w:val="en-US"/>
        </w:rPr>
      </w:pPr>
      <w:r w:rsidRPr="0023522A">
        <w:rPr>
          <w:rFonts w:ascii="Times New Roman" w:hAnsi="Times New Roman" w:cs="Times New Roman"/>
          <w:b/>
          <w:sz w:val="24"/>
          <w:szCs w:val="24"/>
          <w:lang w:val="en-US"/>
        </w:rPr>
        <w:t xml:space="preserve">Supporting Participation in IWRM in Burkina Faso </w:t>
      </w:r>
    </w:p>
    <w:p w:rsidR="00607BAE" w:rsidRDefault="00607BAE" w:rsidP="00607BAE">
      <w:pPr>
        <w:spacing w:before="120" w:after="120"/>
        <w:jc w:val="right"/>
        <w:rPr>
          <w:rFonts w:ascii="Times New Roman" w:hAnsi="Times New Roman" w:cs="Times New Roman"/>
          <w:i/>
        </w:rPr>
      </w:pPr>
      <w:r w:rsidRPr="00C261E1">
        <w:rPr>
          <w:rFonts w:ascii="Times New Roman" w:hAnsi="Times New Roman" w:cs="Times New Roman"/>
          <w:i/>
        </w:rPr>
        <w:t>William’s Daré</w:t>
      </w:r>
      <w:r w:rsidRPr="00712DCA">
        <w:rPr>
          <w:rFonts w:ascii="Times New Roman" w:hAnsi="Times New Roman" w:cs="Times New Roman"/>
          <w:i/>
          <w:vertAlign w:val="superscript"/>
        </w:rPr>
        <w:t>†</w:t>
      </w:r>
      <w:r w:rsidRPr="00C261E1">
        <w:rPr>
          <w:rFonts w:ascii="Times New Roman" w:hAnsi="Times New Roman" w:cs="Times New Roman"/>
          <w:i/>
        </w:rPr>
        <w:t xml:space="preserve"> et Jean-Philippe Venot</w:t>
      </w:r>
      <w:r w:rsidRPr="00712DCA">
        <w:rPr>
          <w:rFonts w:ascii="Times New Roman" w:hAnsi="Times New Roman" w:cs="Times New Roman"/>
          <w:i/>
          <w:vertAlign w:val="superscript"/>
        </w:rPr>
        <w:t>‡</w:t>
      </w:r>
    </w:p>
    <w:p w:rsidR="00D50143" w:rsidRDefault="00607BAE" w:rsidP="00607BAE">
      <w:pPr>
        <w:spacing w:before="120" w:after="120"/>
        <w:jc w:val="right"/>
        <w:rPr>
          <w:rFonts w:ascii="Times New Roman" w:hAnsi="Times New Roman" w:cs="Times New Roman"/>
          <w:i/>
        </w:rPr>
      </w:pPr>
      <w:r w:rsidRPr="00712DCA">
        <w:rPr>
          <w:rFonts w:ascii="Times New Roman" w:hAnsi="Times New Roman" w:cs="Times New Roman"/>
          <w:i/>
          <w:vertAlign w:val="superscript"/>
        </w:rPr>
        <w:t xml:space="preserve">† </w:t>
      </w:r>
      <w:r>
        <w:rPr>
          <w:rFonts w:ascii="Times New Roman" w:hAnsi="Times New Roman" w:cs="Times New Roman"/>
          <w:i/>
        </w:rPr>
        <w:t>CIRAD, UPR GREEN</w:t>
      </w:r>
      <w:r w:rsidR="00D50143">
        <w:rPr>
          <w:rFonts w:ascii="Times New Roman" w:hAnsi="Times New Roman" w:cs="Times New Roman"/>
          <w:i/>
        </w:rPr>
        <w:t xml:space="preserve">  </w:t>
      </w:r>
    </w:p>
    <w:p w:rsidR="00D12081" w:rsidRPr="00781498" w:rsidRDefault="00607BAE" w:rsidP="00607BAE">
      <w:pPr>
        <w:spacing w:before="120" w:after="120"/>
        <w:jc w:val="right"/>
        <w:rPr>
          <w:rFonts w:ascii="Times New Roman" w:hAnsi="Times New Roman" w:cs="Times New Roman"/>
          <w:i/>
          <w:sz w:val="24"/>
          <w:szCs w:val="24"/>
        </w:rPr>
      </w:pPr>
      <w:r w:rsidRPr="00712DCA">
        <w:rPr>
          <w:rFonts w:ascii="Times New Roman" w:hAnsi="Times New Roman" w:cs="Times New Roman"/>
          <w:i/>
          <w:vertAlign w:val="superscript"/>
        </w:rPr>
        <w:t>‡</w:t>
      </w:r>
      <w:r>
        <w:rPr>
          <w:rFonts w:ascii="Times New Roman" w:hAnsi="Times New Roman" w:cs="Times New Roman"/>
          <w:i/>
        </w:rPr>
        <w:t>IRD, UMR G-EAU et Université de Wageningen</w:t>
      </w:r>
    </w:p>
    <w:p w:rsidR="00781498" w:rsidRDefault="00781498" w:rsidP="00D12081">
      <w:pPr>
        <w:spacing w:before="240" w:after="0" w:line="240" w:lineRule="auto"/>
        <w:rPr>
          <w:rFonts w:ascii="Cambria" w:eastAsia="Cambria" w:hAnsi="Cambria" w:cs="Cambria"/>
          <w:b/>
          <w:sz w:val="28"/>
        </w:rPr>
      </w:pPr>
    </w:p>
    <w:p w:rsidR="00781498" w:rsidRPr="00781498" w:rsidRDefault="00781498" w:rsidP="00781498">
      <w:pPr>
        <w:pBdr>
          <w:top w:val="single" w:sz="4" w:space="1" w:color="auto"/>
          <w:left w:val="single" w:sz="4" w:space="4" w:color="auto"/>
          <w:bottom w:val="single" w:sz="4" w:space="1" w:color="auto"/>
          <w:right w:val="single" w:sz="4" w:space="4" w:color="auto"/>
        </w:pBdr>
        <w:spacing w:before="240" w:after="0" w:line="240" w:lineRule="auto"/>
        <w:jc w:val="center"/>
        <w:rPr>
          <w:rFonts w:ascii="Cambria" w:eastAsia="Cambria" w:hAnsi="Cambria" w:cs="Cambria"/>
          <w:sz w:val="28"/>
        </w:rPr>
      </w:pPr>
      <w:r w:rsidRPr="00781498">
        <w:rPr>
          <w:rFonts w:ascii="Cambria" w:eastAsia="Cambria" w:hAnsi="Cambria" w:cs="Cambria"/>
          <w:sz w:val="28"/>
        </w:rPr>
        <w:t>Soumis à la revue Anthropologie et Développement</w:t>
      </w:r>
    </w:p>
    <w:p w:rsidR="00781498" w:rsidRPr="00781498" w:rsidRDefault="00781498" w:rsidP="00781498">
      <w:pPr>
        <w:pBdr>
          <w:top w:val="single" w:sz="4" w:space="1" w:color="auto"/>
          <w:left w:val="single" w:sz="4" w:space="4" w:color="auto"/>
          <w:bottom w:val="single" w:sz="4" w:space="1" w:color="auto"/>
          <w:right w:val="single" w:sz="4" w:space="4" w:color="auto"/>
        </w:pBdr>
        <w:spacing w:before="240" w:after="0" w:line="240" w:lineRule="auto"/>
        <w:jc w:val="center"/>
        <w:rPr>
          <w:rFonts w:ascii="Cambria" w:eastAsia="Cambria" w:hAnsi="Cambria" w:cs="Cambria"/>
          <w:sz w:val="28"/>
        </w:rPr>
      </w:pPr>
      <w:r w:rsidRPr="00781498">
        <w:rPr>
          <w:rFonts w:ascii="Cambria" w:eastAsia="Cambria" w:hAnsi="Cambria" w:cs="Cambria"/>
          <w:sz w:val="28"/>
        </w:rPr>
        <w:t>En cours d’évaluation</w:t>
      </w:r>
    </w:p>
    <w:p w:rsidR="00781498" w:rsidRDefault="00781498" w:rsidP="00D12081">
      <w:pPr>
        <w:spacing w:before="240" w:after="0" w:line="240" w:lineRule="auto"/>
        <w:rPr>
          <w:rFonts w:ascii="Cambria" w:eastAsia="Cambria" w:hAnsi="Cambria" w:cs="Cambria"/>
          <w:b/>
          <w:sz w:val="28"/>
        </w:rPr>
      </w:pPr>
    </w:p>
    <w:p w:rsidR="00D12081" w:rsidRPr="00335FBF" w:rsidRDefault="00D12081" w:rsidP="00D12081">
      <w:pPr>
        <w:spacing w:before="240" w:after="0" w:line="240" w:lineRule="auto"/>
        <w:rPr>
          <w:rFonts w:ascii="Cambria" w:eastAsia="Cambria" w:hAnsi="Cambria" w:cs="Cambria"/>
          <w:b/>
          <w:sz w:val="28"/>
        </w:rPr>
      </w:pPr>
      <w:r w:rsidRPr="00335FBF">
        <w:rPr>
          <w:rFonts w:ascii="Cambria" w:eastAsia="Cambria" w:hAnsi="Cambria" w:cs="Cambria"/>
          <w:b/>
          <w:sz w:val="28"/>
        </w:rPr>
        <w:t>Résumé</w:t>
      </w:r>
    </w:p>
    <w:p w:rsidR="00D12081" w:rsidRDefault="00D12081" w:rsidP="00D12081">
      <w:pPr>
        <w:spacing w:before="120" w:after="120" w:line="240" w:lineRule="auto"/>
        <w:jc w:val="both"/>
        <w:rPr>
          <w:rFonts w:ascii="Times New Roman" w:eastAsia="Times New Roman" w:hAnsi="Times New Roman" w:cs="Times New Roman"/>
          <w:sz w:val="24"/>
        </w:rPr>
      </w:pPr>
      <w:r w:rsidRPr="006A1DB9">
        <w:rPr>
          <w:rFonts w:ascii="Times New Roman" w:eastAsia="Times New Roman" w:hAnsi="Times New Roman" w:cs="Times New Roman"/>
          <w:sz w:val="24"/>
        </w:rPr>
        <w:t>Le positionnement des chercheurs et praticiens de la participation a fait l’objet de nombreuses analyses soulignant la pluralité et la complémentarité des postures adoptées</w:t>
      </w:r>
      <w:r w:rsidRPr="005A20EF">
        <w:rPr>
          <w:rFonts w:ascii="Times New Roman" w:eastAsia="Times New Roman" w:hAnsi="Times New Roman" w:cs="Times New Roman"/>
          <w:sz w:val="24"/>
        </w:rPr>
        <w:t xml:space="preserve"> </w:t>
      </w:r>
      <w:r w:rsidRPr="006A1DB9">
        <w:rPr>
          <w:rFonts w:ascii="Times New Roman" w:eastAsia="Times New Roman" w:hAnsi="Times New Roman" w:cs="Times New Roman"/>
          <w:sz w:val="24"/>
        </w:rPr>
        <w:t xml:space="preserve">notamment vis-à-vis des jeux de pouvoir. Cet article insiste sur l’aspect dynamique des postures de </w:t>
      </w:r>
      <w:r>
        <w:rPr>
          <w:rFonts w:ascii="Times New Roman" w:eastAsia="Times New Roman" w:hAnsi="Times New Roman" w:cs="Times New Roman"/>
          <w:sz w:val="24"/>
        </w:rPr>
        <w:t>deux ‘</w:t>
      </w:r>
      <w:r w:rsidRPr="006A1DB9">
        <w:rPr>
          <w:rFonts w:ascii="Times New Roman" w:eastAsia="Times New Roman" w:hAnsi="Times New Roman" w:cs="Times New Roman"/>
          <w:sz w:val="24"/>
        </w:rPr>
        <w:t>chercheurs</w:t>
      </w:r>
      <w:r>
        <w:rPr>
          <w:rFonts w:ascii="Times New Roman" w:eastAsia="Times New Roman" w:hAnsi="Times New Roman" w:cs="Times New Roman"/>
          <w:sz w:val="24"/>
        </w:rPr>
        <w:t>-</w:t>
      </w:r>
      <w:r w:rsidRPr="006A1DB9">
        <w:rPr>
          <w:rFonts w:ascii="Times New Roman" w:eastAsia="Times New Roman" w:hAnsi="Times New Roman" w:cs="Times New Roman"/>
          <w:sz w:val="24"/>
        </w:rPr>
        <w:t>engagés</w:t>
      </w:r>
      <w:r>
        <w:rPr>
          <w:rFonts w:ascii="Times New Roman" w:eastAsia="Times New Roman" w:hAnsi="Times New Roman" w:cs="Times New Roman"/>
          <w:sz w:val="24"/>
        </w:rPr>
        <w:t>’</w:t>
      </w:r>
      <w:r w:rsidRPr="006A1DB9">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ayant piloté </w:t>
      </w:r>
      <w:r w:rsidRPr="006A1DB9">
        <w:rPr>
          <w:rFonts w:ascii="Times New Roman" w:eastAsia="Times New Roman" w:hAnsi="Times New Roman" w:cs="Times New Roman"/>
          <w:sz w:val="24"/>
        </w:rPr>
        <w:t>un projet de recherche pour le développement</w:t>
      </w:r>
      <w:r>
        <w:rPr>
          <w:rFonts w:ascii="Times New Roman" w:eastAsia="Times New Roman" w:hAnsi="Times New Roman" w:cs="Times New Roman"/>
          <w:sz w:val="24"/>
        </w:rPr>
        <w:t>,</w:t>
      </w:r>
      <w:r w:rsidRPr="006A1DB9">
        <w:rPr>
          <w:rFonts w:ascii="Times New Roman" w:eastAsia="Times New Roman" w:hAnsi="Times New Roman" w:cs="Times New Roman"/>
          <w:sz w:val="24"/>
        </w:rPr>
        <w:t xml:space="preserve"> en appui à la politique de Gestion Intégrée des Ressources en Eau (GIRE) au Burkina Faso. </w:t>
      </w:r>
      <w:r>
        <w:rPr>
          <w:rFonts w:ascii="Times New Roman" w:eastAsia="Times New Roman" w:hAnsi="Times New Roman" w:cs="Times New Roman"/>
          <w:sz w:val="24"/>
        </w:rPr>
        <w:t>Définissant l’engagement comme un positionnement à l’interface entre le politique et le scien</w:t>
      </w:r>
      <w:bookmarkStart w:id="0" w:name="_GoBack"/>
      <w:bookmarkEnd w:id="0"/>
      <w:r>
        <w:rPr>
          <w:rFonts w:ascii="Times New Roman" w:eastAsia="Times New Roman" w:hAnsi="Times New Roman" w:cs="Times New Roman"/>
          <w:sz w:val="24"/>
        </w:rPr>
        <w:t xml:space="preserve">tifique, </w:t>
      </w:r>
      <w:r w:rsidRPr="006A1DB9">
        <w:rPr>
          <w:rFonts w:ascii="Times New Roman" w:eastAsia="Times New Roman" w:hAnsi="Times New Roman" w:cs="Times New Roman"/>
          <w:sz w:val="24"/>
        </w:rPr>
        <w:t xml:space="preserve">les chercheurs </w:t>
      </w:r>
      <w:r>
        <w:rPr>
          <w:rFonts w:ascii="Times New Roman" w:eastAsia="Times New Roman" w:hAnsi="Times New Roman" w:cs="Times New Roman"/>
          <w:sz w:val="24"/>
        </w:rPr>
        <w:t xml:space="preserve">ont dès la formulation du projet </w:t>
      </w:r>
      <w:r w:rsidRPr="006A1DB9">
        <w:rPr>
          <w:rFonts w:ascii="Times New Roman" w:eastAsia="Times New Roman" w:hAnsi="Times New Roman" w:cs="Times New Roman"/>
          <w:sz w:val="24"/>
        </w:rPr>
        <w:t>explicit</w:t>
      </w:r>
      <w:r>
        <w:rPr>
          <w:rFonts w:ascii="Times New Roman" w:eastAsia="Times New Roman" w:hAnsi="Times New Roman" w:cs="Times New Roman"/>
          <w:sz w:val="24"/>
        </w:rPr>
        <w:t>é</w:t>
      </w:r>
      <w:r w:rsidRPr="006A1DB9">
        <w:rPr>
          <w:rFonts w:ascii="Times New Roman" w:eastAsia="Times New Roman" w:hAnsi="Times New Roman" w:cs="Times New Roman"/>
          <w:sz w:val="24"/>
        </w:rPr>
        <w:t xml:space="preserve"> leur objectif de favoriser la participation dans l’application de la GIRE et d’utiliser une approche participative pour ce faire. Adoptant initialement une posture de « neutralité dialogique conditionnelle », </w:t>
      </w:r>
      <w:r>
        <w:rPr>
          <w:rFonts w:ascii="Times New Roman" w:eastAsia="Times New Roman" w:hAnsi="Times New Roman" w:cs="Times New Roman"/>
          <w:sz w:val="24"/>
        </w:rPr>
        <w:t xml:space="preserve">à des fins de légitimation vis-à-vis des décideurs politiques Burkinabè et de pérennisation de leurs résultats de recherche, </w:t>
      </w:r>
      <w:r w:rsidRPr="006A1DB9">
        <w:rPr>
          <w:rFonts w:ascii="Times New Roman" w:eastAsia="Times New Roman" w:hAnsi="Times New Roman" w:cs="Times New Roman"/>
          <w:sz w:val="24"/>
        </w:rPr>
        <w:t xml:space="preserve">les chercheurs ont construit le projet avec </w:t>
      </w:r>
      <w:r>
        <w:rPr>
          <w:rFonts w:ascii="Times New Roman" w:eastAsia="Times New Roman" w:hAnsi="Times New Roman" w:cs="Times New Roman"/>
          <w:sz w:val="24"/>
        </w:rPr>
        <w:t>ces derniers dans le cadre d’</w:t>
      </w:r>
      <w:r w:rsidRPr="006A1DB9">
        <w:rPr>
          <w:rFonts w:ascii="Times New Roman" w:eastAsia="Times New Roman" w:hAnsi="Times New Roman" w:cs="Times New Roman"/>
          <w:sz w:val="24"/>
        </w:rPr>
        <w:t xml:space="preserve">une démarche de modélisation d’accompagnement. </w:t>
      </w:r>
      <w:r>
        <w:rPr>
          <w:rFonts w:ascii="Times New Roman" w:eastAsia="Times New Roman" w:hAnsi="Times New Roman" w:cs="Times New Roman"/>
          <w:sz w:val="24"/>
        </w:rPr>
        <w:t xml:space="preserve">Face aux forts différentiels de pouvoir dans la situation d’action, bloquant toute contribution des acteurs locaux à la prise de décision sur l’eau, les chercheurs ont glissé </w:t>
      </w:r>
      <w:r w:rsidRPr="006A1DB9">
        <w:rPr>
          <w:rFonts w:ascii="Times New Roman" w:eastAsia="Times New Roman" w:hAnsi="Times New Roman" w:cs="Times New Roman"/>
          <w:sz w:val="24"/>
        </w:rPr>
        <w:t>vers une posture de « non neutralité post normale » où l’</w:t>
      </w:r>
      <w:r>
        <w:rPr>
          <w:rFonts w:ascii="Times New Roman" w:eastAsia="Times New Roman" w:hAnsi="Times New Roman" w:cs="Times New Roman"/>
          <w:sz w:val="24"/>
        </w:rPr>
        <w:t>objectif premier</w:t>
      </w:r>
      <w:r w:rsidRPr="006A1DB9">
        <w:rPr>
          <w:rFonts w:ascii="Times New Roman" w:eastAsia="Times New Roman" w:hAnsi="Times New Roman" w:cs="Times New Roman"/>
          <w:sz w:val="24"/>
        </w:rPr>
        <w:t xml:space="preserve"> </w:t>
      </w:r>
      <w:r>
        <w:rPr>
          <w:rFonts w:ascii="Times New Roman" w:eastAsia="Times New Roman" w:hAnsi="Times New Roman" w:cs="Times New Roman"/>
          <w:sz w:val="24"/>
        </w:rPr>
        <w:t>a été</w:t>
      </w:r>
      <w:r w:rsidRPr="006A1DB9">
        <w:rPr>
          <w:rFonts w:ascii="Times New Roman" w:eastAsia="Times New Roman" w:hAnsi="Times New Roman" w:cs="Times New Roman"/>
          <w:sz w:val="24"/>
        </w:rPr>
        <w:t xml:space="preserve"> de renforcer les acteurs locaux dans les dispositifs participatifs afin qu’ils se réapproprient les arènes de concertation créées par le législateur. </w:t>
      </w:r>
      <w:r>
        <w:rPr>
          <w:rFonts w:ascii="Times New Roman" w:eastAsia="Times New Roman" w:hAnsi="Times New Roman" w:cs="Times New Roman"/>
          <w:sz w:val="24"/>
        </w:rPr>
        <w:t>Les évolutions de postures s’expliquent à la fois par les changements observés dans la situation d’action, la compréhension que les chercheurs en ont et la volonté de préserver leur éthique d’intervention. Si, heuristiquement, l’engagement du chercheur pour la participation dans la gestion des ressources naturelles permet de nourrir une réflexion critique sur l’action publique, il est difficile d’adopter cette posture dans le cadre de projets de recherche pour le développement et dans un contexte fortement structuré par l’aide publique au développement.</w:t>
      </w:r>
    </w:p>
    <w:p w:rsidR="00D12081" w:rsidRPr="006A1DB9" w:rsidRDefault="00D12081" w:rsidP="00D12081">
      <w:pPr>
        <w:spacing w:before="120" w:after="120" w:line="240" w:lineRule="auto"/>
        <w:jc w:val="both"/>
        <w:rPr>
          <w:rFonts w:ascii="Times New Roman" w:eastAsia="Times New Roman" w:hAnsi="Times New Roman" w:cs="Times New Roman"/>
          <w:sz w:val="24"/>
        </w:rPr>
      </w:pPr>
      <w:r w:rsidRPr="006A1DB9">
        <w:rPr>
          <w:rFonts w:ascii="Times New Roman" w:eastAsia="Times New Roman" w:hAnsi="Times New Roman" w:cs="Times New Roman"/>
          <w:sz w:val="24"/>
        </w:rPr>
        <w:t xml:space="preserve">Mots Clés : </w:t>
      </w:r>
      <w:r>
        <w:rPr>
          <w:rFonts w:ascii="Times New Roman" w:eastAsia="Times New Roman" w:hAnsi="Times New Roman" w:cs="Times New Roman"/>
          <w:sz w:val="24"/>
        </w:rPr>
        <w:t xml:space="preserve">Science, Action, </w:t>
      </w:r>
      <w:r w:rsidRPr="006A1DB9">
        <w:rPr>
          <w:rFonts w:ascii="Times New Roman" w:eastAsia="Times New Roman" w:hAnsi="Times New Roman" w:cs="Times New Roman"/>
          <w:sz w:val="24"/>
        </w:rPr>
        <w:t xml:space="preserve">Engagement, </w:t>
      </w:r>
      <w:r>
        <w:rPr>
          <w:rFonts w:ascii="Times New Roman" w:eastAsia="Times New Roman" w:hAnsi="Times New Roman" w:cs="Times New Roman"/>
          <w:sz w:val="24"/>
        </w:rPr>
        <w:t xml:space="preserve">Participation, </w:t>
      </w:r>
      <w:r w:rsidRPr="006A1DB9">
        <w:rPr>
          <w:rFonts w:ascii="Times New Roman" w:eastAsia="Times New Roman" w:hAnsi="Times New Roman" w:cs="Times New Roman"/>
          <w:sz w:val="24"/>
        </w:rPr>
        <w:t>Gestion Intégrée des Ressources en Eau</w:t>
      </w:r>
      <w:r>
        <w:rPr>
          <w:rFonts w:ascii="Times New Roman" w:eastAsia="Times New Roman" w:hAnsi="Times New Roman" w:cs="Times New Roman"/>
          <w:sz w:val="24"/>
        </w:rPr>
        <w:t>,</w:t>
      </w:r>
      <w:r w:rsidRPr="006A1DB9">
        <w:rPr>
          <w:rFonts w:ascii="Times New Roman" w:eastAsia="Times New Roman" w:hAnsi="Times New Roman" w:cs="Times New Roman"/>
          <w:sz w:val="24"/>
        </w:rPr>
        <w:t xml:space="preserve"> Modélisation d’Acc</w:t>
      </w:r>
      <w:r>
        <w:rPr>
          <w:rFonts w:ascii="Times New Roman" w:eastAsia="Times New Roman" w:hAnsi="Times New Roman" w:cs="Times New Roman"/>
          <w:sz w:val="24"/>
        </w:rPr>
        <w:t>ompagnement, Afrique de l’Ouest</w:t>
      </w:r>
      <w:r w:rsidRPr="006A1DB9">
        <w:rPr>
          <w:rFonts w:ascii="Times New Roman" w:eastAsia="Times New Roman" w:hAnsi="Times New Roman" w:cs="Times New Roman"/>
          <w:sz w:val="24"/>
        </w:rPr>
        <w:t xml:space="preserve"> </w:t>
      </w:r>
    </w:p>
    <w:p w:rsidR="001B353C" w:rsidRDefault="001B353C" w:rsidP="00D12081">
      <w:pPr>
        <w:spacing w:before="240" w:after="0" w:line="240" w:lineRule="auto"/>
        <w:rPr>
          <w:rFonts w:ascii="Cambria" w:eastAsia="Cambria" w:hAnsi="Cambria" w:cs="Cambria"/>
          <w:b/>
          <w:sz w:val="28"/>
          <w:lang w:val="en-US"/>
        </w:rPr>
      </w:pPr>
    </w:p>
    <w:p w:rsidR="00D12081" w:rsidRPr="00335FBF" w:rsidRDefault="00D12081" w:rsidP="00D12081">
      <w:pPr>
        <w:spacing w:before="240" w:after="0" w:line="240" w:lineRule="auto"/>
        <w:rPr>
          <w:rFonts w:ascii="Cambria" w:eastAsia="Cambria" w:hAnsi="Cambria" w:cs="Cambria"/>
          <w:b/>
          <w:sz w:val="28"/>
          <w:lang w:val="en-US"/>
        </w:rPr>
      </w:pPr>
      <w:r w:rsidRPr="00335FBF">
        <w:rPr>
          <w:rFonts w:ascii="Cambria" w:eastAsia="Cambria" w:hAnsi="Cambria" w:cs="Cambria"/>
          <w:b/>
          <w:sz w:val="28"/>
          <w:lang w:val="en-US"/>
        </w:rPr>
        <w:lastRenderedPageBreak/>
        <w:t>Abstract:</w:t>
      </w:r>
    </w:p>
    <w:p w:rsidR="00D12081" w:rsidRPr="0023522A" w:rsidRDefault="00D12081" w:rsidP="00D12081">
      <w:pPr>
        <w:spacing w:before="120" w:after="120" w:line="240" w:lineRule="auto"/>
        <w:jc w:val="both"/>
        <w:rPr>
          <w:rFonts w:ascii="Times New Roman" w:eastAsia="Times New Roman" w:hAnsi="Times New Roman" w:cs="Times New Roman"/>
          <w:sz w:val="24"/>
          <w:lang w:val="en-US"/>
        </w:rPr>
      </w:pPr>
      <w:r w:rsidRPr="0023522A">
        <w:rPr>
          <w:rFonts w:ascii="Times New Roman" w:eastAsia="Times New Roman" w:hAnsi="Times New Roman" w:cs="Times New Roman"/>
          <w:sz w:val="24"/>
          <w:lang w:val="en-US"/>
        </w:rPr>
        <w:t xml:space="preserve">The roles, place and influence that researchers and practitioners may have in the way participatory approaches unfold has long been documented. Such analysis notably stress that researchers’ stances towards the issue of power may vary significantly. This article </w:t>
      </w:r>
      <w:r>
        <w:rPr>
          <w:rFonts w:ascii="Times New Roman" w:eastAsia="Times New Roman" w:hAnsi="Times New Roman" w:cs="Times New Roman"/>
          <w:sz w:val="24"/>
          <w:lang w:val="en-US"/>
        </w:rPr>
        <w:t xml:space="preserve">documents </w:t>
      </w:r>
      <w:r w:rsidRPr="0023522A">
        <w:rPr>
          <w:rFonts w:ascii="Times New Roman" w:eastAsia="Times New Roman" w:hAnsi="Times New Roman" w:cs="Times New Roman"/>
          <w:sz w:val="24"/>
          <w:lang w:val="en-US"/>
        </w:rPr>
        <w:t xml:space="preserve">how the positioning of </w:t>
      </w:r>
      <w:r>
        <w:rPr>
          <w:rFonts w:ascii="Times New Roman" w:eastAsia="Times New Roman" w:hAnsi="Times New Roman" w:cs="Times New Roman"/>
          <w:sz w:val="24"/>
          <w:lang w:val="en-US"/>
        </w:rPr>
        <w:t xml:space="preserve">two “engaged </w:t>
      </w:r>
      <w:r w:rsidRPr="0023522A">
        <w:rPr>
          <w:rFonts w:ascii="Times New Roman" w:eastAsia="Times New Roman" w:hAnsi="Times New Roman" w:cs="Times New Roman"/>
          <w:sz w:val="24"/>
          <w:lang w:val="en-US"/>
        </w:rPr>
        <w:t>researchers</w:t>
      </w:r>
      <w:r>
        <w:rPr>
          <w:rFonts w:ascii="Times New Roman" w:eastAsia="Times New Roman" w:hAnsi="Times New Roman" w:cs="Times New Roman"/>
          <w:sz w:val="24"/>
          <w:lang w:val="en-US"/>
        </w:rPr>
        <w:t>”</w:t>
      </w:r>
      <w:r w:rsidRPr="0023522A">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coordinating</w:t>
      </w:r>
      <w:r w:rsidRPr="0023522A">
        <w:rPr>
          <w:rFonts w:ascii="Times New Roman" w:eastAsia="Times New Roman" w:hAnsi="Times New Roman" w:cs="Times New Roman"/>
          <w:sz w:val="24"/>
          <w:lang w:val="en-US"/>
        </w:rPr>
        <w:t xml:space="preserve"> a research for development project aimed at supporting Integrated Water Resources Management (IWRM) policies in Burkina Faso ha</w:t>
      </w:r>
      <w:r>
        <w:rPr>
          <w:rFonts w:ascii="Times New Roman" w:eastAsia="Times New Roman" w:hAnsi="Times New Roman" w:cs="Times New Roman"/>
          <w:sz w:val="24"/>
          <w:lang w:val="en-US"/>
        </w:rPr>
        <w:t>ve</w:t>
      </w:r>
      <w:r w:rsidRPr="0023522A">
        <w:rPr>
          <w:rFonts w:ascii="Times New Roman" w:eastAsia="Times New Roman" w:hAnsi="Times New Roman" w:cs="Times New Roman"/>
          <w:sz w:val="24"/>
          <w:lang w:val="en-US"/>
        </w:rPr>
        <w:t xml:space="preserve"> evolved with time. </w:t>
      </w:r>
      <w:r>
        <w:rPr>
          <w:rFonts w:ascii="Times New Roman" w:eastAsia="Times New Roman" w:hAnsi="Times New Roman" w:cs="Times New Roman"/>
          <w:sz w:val="24"/>
          <w:lang w:val="en-US"/>
        </w:rPr>
        <w:t xml:space="preserve">Defining engagement as being at the interface between research and policy, the researchers have </w:t>
      </w:r>
      <w:r w:rsidRPr="0023522A">
        <w:rPr>
          <w:rFonts w:ascii="Times New Roman" w:eastAsia="Times New Roman" w:hAnsi="Times New Roman" w:cs="Times New Roman"/>
          <w:sz w:val="24"/>
          <w:lang w:val="en-US"/>
        </w:rPr>
        <w:t>made explicit that their objective was to enhance participation in policy implementation and to follow participatory approaches to do so</w:t>
      </w:r>
      <w:r>
        <w:rPr>
          <w:rFonts w:ascii="Times New Roman" w:eastAsia="Times New Roman" w:hAnsi="Times New Roman" w:cs="Times New Roman"/>
          <w:sz w:val="24"/>
          <w:lang w:val="en-US"/>
        </w:rPr>
        <w:t>,</w:t>
      </w:r>
      <w:r w:rsidRPr="00961DBF">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right </w:t>
      </w:r>
      <w:r w:rsidRPr="0023522A">
        <w:rPr>
          <w:rFonts w:ascii="Times New Roman" w:eastAsia="Times New Roman" w:hAnsi="Times New Roman" w:cs="Times New Roman"/>
          <w:sz w:val="24"/>
          <w:lang w:val="en-US"/>
        </w:rPr>
        <w:t xml:space="preserve">from the start of the project. They adopted a stance of "conditional dialogical neutrality" </w:t>
      </w:r>
      <w:r>
        <w:rPr>
          <w:rFonts w:ascii="Times New Roman" w:eastAsia="Times New Roman" w:hAnsi="Times New Roman" w:cs="Times New Roman"/>
          <w:sz w:val="24"/>
          <w:lang w:val="en-US"/>
        </w:rPr>
        <w:t xml:space="preserve">in order to build their legitimacy towards </w:t>
      </w:r>
      <w:r w:rsidRPr="0023522A">
        <w:rPr>
          <w:rFonts w:ascii="Times New Roman" w:eastAsia="Times New Roman" w:hAnsi="Times New Roman" w:cs="Times New Roman"/>
          <w:sz w:val="24"/>
          <w:lang w:val="en-US"/>
        </w:rPr>
        <w:t>Burkinabe policymakers</w:t>
      </w:r>
      <w:r>
        <w:rPr>
          <w:rFonts w:ascii="Times New Roman" w:eastAsia="Times New Roman" w:hAnsi="Times New Roman" w:cs="Times New Roman"/>
          <w:sz w:val="24"/>
          <w:lang w:val="en-US"/>
        </w:rPr>
        <w:t xml:space="preserve"> and ensure the sustainability of their activities, shaping projects activities together with the later and</w:t>
      </w:r>
      <w:r w:rsidRPr="0023522A">
        <w:rPr>
          <w:rFonts w:ascii="Times New Roman" w:eastAsia="Times New Roman" w:hAnsi="Times New Roman" w:cs="Times New Roman"/>
          <w:sz w:val="24"/>
          <w:lang w:val="en-US"/>
        </w:rPr>
        <w:t xml:space="preserve"> following the precepts of the Companion Modeling approach. However, whereas participation is presented as one of the pillars of IWRM, the administration in charge of piloting the policy proved unable or unwilling to take field realities into account and to create room for natural resources users so that the latter could participate in a meaningful and proactive way. This situation led </w:t>
      </w:r>
      <w:r>
        <w:rPr>
          <w:rFonts w:ascii="Times New Roman" w:eastAsia="Times New Roman" w:hAnsi="Times New Roman" w:cs="Times New Roman"/>
          <w:sz w:val="24"/>
          <w:lang w:val="en-US"/>
        </w:rPr>
        <w:t xml:space="preserve">the </w:t>
      </w:r>
      <w:r w:rsidRPr="0023522A">
        <w:rPr>
          <w:rFonts w:ascii="Times New Roman" w:eastAsia="Times New Roman" w:hAnsi="Times New Roman" w:cs="Times New Roman"/>
          <w:sz w:val="24"/>
          <w:lang w:val="en-US"/>
        </w:rPr>
        <w:t>researchers to progressively shift towards a stance of</w:t>
      </w:r>
      <w:r>
        <w:rPr>
          <w:rFonts w:ascii="Times New Roman" w:eastAsia="Times New Roman" w:hAnsi="Times New Roman" w:cs="Times New Roman"/>
          <w:sz w:val="24"/>
          <w:lang w:val="en-US"/>
        </w:rPr>
        <w:t xml:space="preserve"> </w:t>
      </w:r>
      <w:r w:rsidRPr="0023522A">
        <w:rPr>
          <w:rFonts w:ascii="Times New Roman" w:eastAsia="Times New Roman" w:hAnsi="Times New Roman" w:cs="Times New Roman"/>
          <w:sz w:val="24"/>
          <w:lang w:val="en-US"/>
        </w:rPr>
        <w:t xml:space="preserve">"post-normal non neutrality", whereby they explicitly aimed at strengthening the role and place of local actors in the arenas of participation set up by policy makers. </w:t>
      </w:r>
      <w:r>
        <w:rPr>
          <w:rFonts w:ascii="Times New Roman" w:eastAsia="Times New Roman" w:hAnsi="Times New Roman" w:cs="Times New Roman"/>
          <w:sz w:val="24"/>
          <w:lang w:val="en-US"/>
        </w:rPr>
        <w:t>Evolution in the positioning of researchers find their roots in the changes observed in the action-space, the understanding researchers have of it, and their willingness to maintain the principles of their intervention. Heuristically, engagement towards the promotion of participation in natural resources management allows for a critical analysis of public action. However, it appears difficult to adopt such a stance in the framework of research for development projects and in a context strongly influenced by public development aid practices and networks.</w:t>
      </w:r>
    </w:p>
    <w:p w:rsidR="00D12081" w:rsidRPr="0023522A" w:rsidRDefault="00D12081" w:rsidP="00D12081">
      <w:pPr>
        <w:spacing w:before="120" w:after="120" w:line="240" w:lineRule="auto"/>
        <w:jc w:val="both"/>
        <w:rPr>
          <w:rFonts w:ascii="Times New Roman" w:eastAsia="Times New Roman" w:hAnsi="Times New Roman" w:cs="Times New Roman"/>
          <w:sz w:val="24"/>
          <w:lang w:val="en-US"/>
        </w:rPr>
      </w:pPr>
      <w:r w:rsidRPr="0023522A">
        <w:rPr>
          <w:rFonts w:ascii="Times New Roman" w:eastAsia="Times New Roman" w:hAnsi="Times New Roman" w:cs="Times New Roman"/>
          <w:sz w:val="24"/>
          <w:lang w:val="en-US"/>
        </w:rPr>
        <w:t xml:space="preserve">Keywords: </w:t>
      </w:r>
      <w:r w:rsidR="00D50143">
        <w:rPr>
          <w:rFonts w:ascii="Times New Roman" w:eastAsia="Times New Roman" w:hAnsi="Times New Roman" w:cs="Times New Roman"/>
          <w:sz w:val="24"/>
          <w:lang w:val="en-US"/>
        </w:rPr>
        <w:t>Science</w:t>
      </w:r>
      <w:r>
        <w:rPr>
          <w:rFonts w:ascii="Times New Roman" w:eastAsia="Times New Roman" w:hAnsi="Times New Roman" w:cs="Times New Roman"/>
          <w:sz w:val="24"/>
          <w:lang w:val="en-US"/>
        </w:rPr>
        <w:t xml:space="preserve">, Policy, </w:t>
      </w:r>
      <w:r w:rsidRPr="0023522A">
        <w:rPr>
          <w:rFonts w:ascii="Times New Roman" w:eastAsia="Times New Roman" w:hAnsi="Times New Roman" w:cs="Times New Roman"/>
          <w:sz w:val="24"/>
          <w:lang w:val="en-US"/>
        </w:rPr>
        <w:t xml:space="preserve">Engagement, </w:t>
      </w:r>
      <w:r>
        <w:rPr>
          <w:rFonts w:ascii="Times New Roman" w:eastAsia="Times New Roman" w:hAnsi="Times New Roman" w:cs="Times New Roman"/>
          <w:sz w:val="24"/>
          <w:lang w:val="en-US"/>
        </w:rPr>
        <w:t xml:space="preserve">Participation, </w:t>
      </w:r>
      <w:r w:rsidRPr="0023522A">
        <w:rPr>
          <w:rFonts w:ascii="Times New Roman" w:eastAsia="Times New Roman" w:hAnsi="Times New Roman" w:cs="Times New Roman"/>
          <w:sz w:val="24"/>
          <w:lang w:val="en-US"/>
        </w:rPr>
        <w:t>Integrated Water Resources Management, Companion Modeling, West Africa</w:t>
      </w:r>
      <w:r>
        <w:rPr>
          <w:rFonts w:ascii="Times New Roman" w:eastAsia="Times New Roman" w:hAnsi="Times New Roman" w:cs="Times New Roman"/>
          <w:sz w:val="24"/>
          <w:lang w:val="en-US"/>
        </w:rPr>
        <w:t>.</w:t>
      </w:r>
      <w:r w:rsidRPr="0023522A">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 </w:t>
      </w:r>
    </w:p>
    <w:p w:rsidR="008D7296" w:rsidRPr="006A1DB9" w:rsidRDefault="008D7296">
      <w:pPr>
        <w:spacing w:after="0" w:line="240" w:lineRule="auto"/>
        <w:rPr>
          <w:rFonts w:ascii="Cambria" w:eastAsia="Cambria" w:hAnsi="Cambria" w:cs="Cambria"/>
          <w:b/>
          <w:sz w:val="24"/>
          <w:lang w:val="en-US"/>
        </w:rPr>
      </w:pPr>
    </w:p>
    <w:sectPr w:rsidR="008D7296" w:rsidRPr="006A1DB9" w:rsidSect="008762A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81E" w:rsidRDefault="00FA581E" w:rsidP="004B37E5">
      <w:pPr>
        <w:spacing w:after="0" w:line="240" w:lineRule="auto"/>
      </w:pPr>
      <w:r>
        <w:separator/>
      </w:r>
    </w:p>
  </w:endnote>
  <w:endnote w:type="continuationSeparator" w:id="0">
    <w:p w:rsidR="00FA581E" w:rsidRDefault="00FA581E" w:rsidP="004B37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81E" w:rsidRDefault="00FA581E" w:rsidP="004B37E5">
      <w:pPr>
        <w:spacing w:after="0" w:line="240" w:lineRule="auto"/>
      </w:pPr>
      <w:r>
        <w:separator/>
      </w:r>
    </w:p>
  </w:footnote>
  <w:footnote w:type="continuationSeparator" w:id="0">
    <w:p w:rsidR="00FA581E" w:rsidRDefault="00FA581E" w:rsidP="004B37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BD723D"/>
    <w:multiLevelType w:val="hybridMultilevel"/>
    <w:tmpl w:val="B61AADB4"/>
    <w:lvl w:ilvl="0" w:tplc="DD3E3D0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6433700"/>
    <w:multiLevelType w:val="multilevel"/>
    <w:tmpl w:val="6F70B9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632290"/>
    <w:multiLevelType w:val="hybridMultilevel"/>
    <w:tmpl w:val="49269286"/>
    <w:lvl w:ilvl="0" w:tplc="764E25E6">
      <w:start w:val="4"/>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
    <w:nsid w:val="49173A18"/>
    <w:multiLevelType w:val="multilevel"/>
    <w:tmpl w:val="C9C2C8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2F347F6"/>
    <w:multiLevelType w:val="hybridMultilevel"/>
    <w:tmpl w:val="B61AADB4"/>
    <w:lvl w:ilvl="0" w:tplc="DD3E3D0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548438F"/>
    <w:multiLevelType w:val="multilevel"/>
    <w:tmpl w:val="23ACF2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7EA42A4"/>
    <w:multiLevelType w:val="multilevel"/>
    <w:tmpl w:val="8004AE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B9632B2"/>
    <w:multiLevelType w:val="multilevel"/>
    <w:tmpl w:val="17C4F9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1"/>
  </w:num>
  <w:num w:numId="4">
    <w:abstractNumId w:val="7"/>
  </w:num>
  <w:num w:numId="5">
    <w:abstractNumId w:val="6"/>
  </w:num>
  <w:num w:numId="6">
    <w:abstractNumId w:val="2"/>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8D7296"/>
    <w:rsid w:val="00001CC2"/>
    <w:rsid w:val="000057A5"/>
    <w:rsid w:val="000227CE"/>
    <w:rsid w:val="00023C8D"/>
    <w:rsid w:val="0002475C"/>
    <w:rsid w:val="0003203B"/>
    <w:rsid w:val="00033620"/>
    <w:rsid w:val="0004163F"/>
    <w:rsid w:val="00047E73"/>
    <w:rsid w:val="00053455"/>
    <w:rsid w:val="0005678D"/>
    <w:rsid w:val="00056846"/>
    <w:rsid w:val="00060BD3"/>
    <w:rsid w:val="00066796"/>
    <w:rsid w:val="000A40C7"/>
    <w:rsid w:val="000A5FF7"/>
    <w:rsid w:val="000A6E54"/>
    <w:rsid w:val="000D067C"/>
    <w:rsid w:val="00120C92"/>
    <w:rsid w:val="00147965"/>
    <w:rsid w:val="0015368B"/>
    <w:rsid w:val="00160FBD"/>
    <w:rsid w:val="0019126F"/>
    <w:rsid w:val="001A0E82"/>
    <w:rsid w:val="001B353C"/>
    <w:rsid w:val="001C6A4B"/>
    <w:rsid w:val="001D5B15"/>
    <w:rsid w:val="001E2385"/>
    <w:rsid w:val="001E630E"/>
    <w:rsid w:val="001F1036"/>
    <w:rsid w:val="0020562A"/>
    <w:rsid w:val="00221BD5"/>
    <w:rsid w:val="002220AF"/>
    <w:rsid w:val="002269C0"/>
    <w:rsid w:val="0023522A"/>
    <w:rsid w:val="00237BB5"/>
    <w:rsid w:val="00242418"/>
    <w:rsid w:val="002439CE"/>
    <w:rsid w:val="002534D4"/>
    <w:rsid w:val="0026325B"/>
    <w:rsid w:val="00293480"/>
    <w:rsid w:val="002B0851"/>
    <w:rsid w:val="002D2F1E"/>
    <w:rsid w:val="002E4064"/>
    <w:rsid w:val="002F6326"/>
    <w:rsid w:val="00314996"/>
    <w:rsid w:val="00335FBF"/>
    <w:rsid w:val="003467F4"/>
    <w:rsid w:val="003503DE"/>
    <w:rsid w:val="0035431A"/>
    <w:rsid w:val="00383BBD"/>
    <w:rsid w:val="003A6BEB"/>
    <w:rsid w:val="003B7CC3"/>
    <w:rsid w:val="003C04FB"/>
    <w:rsid w:val="003D1046"/>
    <w:rsid w:val="003E6316"/>
    <w:rsid w:val="003F0269"/>
    <w:rsid w:val="003F04C0"/>
    <w:rsid w:val="00420E79"/>
    <w:rsid w:val="00435DA9"/>
    <w:rsid w:val="00444D3F"/>
    <w:rsid w:val="00451CFB"/>
    <w:rsid w:val="00452013"/>
    <w:rsid w:val="00467CBF"/>
    <w:rsid w:val="00496D66"/>
    <w:rsid w:val="004A51E9"/>
    <w:rsid w:val="004B37E5"/>
    <w:rsid w:val="004B5B1C"/>
    <w:rsid w:val="004D7B81"/>
    <w:rsid w:val="004E30F9"/>
    <w:rsid w:val="00514D6B"/>
    <w:rsid w:val="0051791D"/>
    <w:rsid w:val="0054597B"/>
    <w:rsid w:val="0054712E"/>
    <w:rsid w:val="00571A0F"/>
    <w:rsid w:val="0058724F"/>
    <w:rsid w:val="00587A72"/>
    <w:rsid w:val="005934DE"/>
    <w:rsid w:val="00594092"/>
    <w:rsid w:val="0059602A"/>
    <w:rsid w:val="005A217F"/>
    <w:rsid w:val="005A5217"/>
    <w:rsid w:val="005A5BD6"/>
    <w:rsid w:val="005A61BE"/>
    <w:rsid w:val="005B011D"/>
    <w:rsid w:val="005B036B"/>
    <w:rsid w:val="005B6CC9"/>
    <w:rsid w:val="005C261E"/>
    <w:rsid w:val="005E39A1"/>
    <w:rsid w:val="005F6EAF"/>
    <w:rsid w:val="00607BAE"/>
    <w:rsid w:val="00621E0E"/>
    <w:rsid w:val="00643A6E"/>
    <w:rsid w:val="00647366"/>
    <w:rsid w:val="006521D5"/>
    <w:rsid w:val="00654764"/>
    <w:rsid w:val="00677D5A"/>
    <w:rsid w:val="00690743"/>
    <w:rsid w:val="006954F2"/>
    <w:rsid w:val="006A1DB9"/>
    <w:rsid w:val="006B3999"/>
    <w:rsid w:val="006F156A"/>
    <w:rsid w:val="006F1C78"/>
    <w:rsid w:val="007001B4"/>
    <w:rsid w:val="00702D08"/>
    <w:rsid w:val="0071577D"/>
    <w:rsid w:val="00717388"/>
    <w:rsid w:val="0072699A"/>
    <w:rsid w:val="0073340F"/>
    <w:rsid w:val="00740F6F"/>
    <w:rsid w:val="0074207B"/>
    <w:rsid w:val="0075154E"/>
    <w:rsid w:val="00753DC0"/>
    <w:rsid w:val="00755E5A"/>
    <w:rsid w:val="0077664F"/>
    <w:rsid w:val="00777E95"/>
    <w:rsid w:val="00781498"/>
    <w:rsid w:val="007A2700"/>
    <w:rsid w:val="007A6275"/>
    <w:rsid w:val="007B3145"/>
    <w:rsid w:val="007B37B9"/>
    <w:rsid w:val="007B42F2"/>
    <w:rsid w:val="007D213F"/>
    <w:rsid w:val="007D29AC"/>
    <w:rsid w:val="007E52F7"/>
    <w:rsid w:val="007F10E5"/>
    <w:rsid w:val="008260F7"/>
    <w:rsid w:val="00834760"/>
    <w:rsid w:val="008543C5"/>
    <w:rsid w:val="00855206"/>
    <w:rsid w:val="00861344"/>
    <w:rsid w:val="008762A2"/>
    <w:rsid w:val="00887C10"/>
    <w:rsid w:val="00890DFD"/>
    <w:rsid w:val="008B35E4"/>
    <w:rsid w:val="008C11D1"/>
    <w:rsid w:val="008C6435"/>
    <w:rsid w:val="008D7296"/>
    <w:rsid w:val="008E2684"/>
    <w:rsid w:val="008F58CF"/>
    <w:rsid w:val="00901F66"/>
    <w:rsid w:val="009041B5"/>
    <w:rsid w:val="00911FEB"/>
    <w:rsid w:val="00920F18"/>
    <w:rsid w:val="00926184"/>
    <w:rsid w:val="00930544"/>
    <w:rsid w:val="00947532"/>
    <w:rsid w:val="009622F3"/>
    <w:rsid w:val="009708D7"/>
    <w:rsid w:val="0097541A"/>
    <w:rsid w:val="00981674"/>
    <w:rsid w:val="0098625D"/>
    <w:rsid w:val="009A0186"/>
    <w:rsid w:val="009B0BB7"/>
    <w:rsid w:val="009C092F"/>
    <w:rsid w:val="009C128F"/>
    <w:rsid w:val="009C1B25"/>
    <w:rsid w:val="009C27C0"/>
    <w:rsid w:val="009C43D5"/>
    <w:rsid w:val="009D1B6E"/>
    <w:rsid w:val="009D3B9D"/>
    <w:rsid w:val="009D4A2A"/>
    <w:rsid w:val="00A00BDF"/>
    <w:rsid w:val="00A0479C"/>
    <w:rsid w:val="00A139F2"/>
    <w:rsid w:val="00A1732A"/>
    <w:rsid w:val="00A41CCC"/>
    <w:rsid w:val="00A50918"/>
    <w:rsid w:val="00A50D9C"/>
    <w:rsid w:val="00A513CB"/>
    <w:rsid w:val="00A72497"/>
    <w:rsid w:val="00A731AA"/>
    <w:rsid w:val="00A75540"/>
    <w:rsid w:val="00A84A54"/>
    <w:rsid w:val="00A9015B"/>
    <w:rsid w:val="00A909C7"/>
    <w:rsid w:val="00AC4F04"/>
    <w:rsid w:val="00AD3179"/>
    <w:rsid w:val="00AD6CE0"/>
    <w:rsid w:val="00AE4CE8"/>
    <w:rsid w:val="00AE5296"/>
    <w:rsid w:val="00AF00A9"/>
    <w:rsid w:val="00AF2962"/>
    <w:rsid w:val="00B04575"/>
    <w:rsid w:val="00B12187"/>
    <w:rsid w:val="00B14208"/>
    <w:rsid w:val="00B1607B"/>
    <w:rsid w:val="00B32C50"/>
    <w:rsid w:val="00B404D6"/>
    <w:rsid w:val="00B42163"/>
    <w:rsid w:val="00B45FFD"/>
    <w:rsid w:val="00B53C0A"/>
    <w:rsid w:val="00B54743"/>
    <w:rsid w:val="00B54B04"/>
    <w:rsid w:val="00B66B87"/>
    <w:rsid w:val="00B82469"/>
    <w:rsid w:val="00B862C0"/>
    <w:rsid w:val="00B967B0"/>
    <w:rsid w:val="00BA440E"/>
    <w:rsid w:val="00BA4687"/>
    <w:rsid w:val="00BC2591"/>
    <w:rsid w:val="00BE5A1F"/>
    <w:rsid w:val="00BF41A9"/>
    <w:rsid w:val="00BF707F"/>
    <w:rsid w:val="00C1767E"/>
    <w:rsid w:val="00C35F9F"/>
    <w:rsid w:val="00C37D51"/>
    <w:rsid w:val="00C46BB2"/>
    <w:rsid w:val="00C56E10"/>
    <w:rsid w:val="00C71C76"/>
    <w:rsid w:val="00C75266"/>
    <w:rsid w:val="00C8171B"/>
    <w:rsid w:val="00C822BF"/>
    <w:rsid w:val="00CA0E1D"/>
    <w:rsid w:val="00CA16CD"/>
    <w:rsid w:val="00CA7DE5"/>
    <w:rsid w:val="00CC3B8E"/>
    <w:rsid w:val="00CD11B8"/>
    <w:rsid w:val="00CD75A5"/>
    <w:rsid w:val="00CE14B6"/>
    <w:rsid w:val="00D1154B"/>
    <w:rsid w:val="00D12081"/>
    <w:rsid w:val="00D15160"/>
    <w:rsid w:val="00D256B7"/>
    <w:rsid w:val="00D303CF"/>
    <w:rsid w:val="00D36C99"/>
    <w:rsid w:val="00D41890"/>
    <w:rsid w:val="00D50143"/>
    <w:rsid w:val="00D51AED"/>
    <w:rsid w:val="00D54AF1"/>
    <w:rsid w:val="00D55368"/>
    <w:rsid w:val="00D60AFA"/>
    <w:rsid w:val="00D77FF2"/>
    <w:rsid w:val="00DA2665"/>
    <w:rsid w:val="00DA40BB"/>
    <w:rsid w:val="00DA434E"/>
    <w:rsid w:val="00DB4346"/>
    <w:rsid w:val="00DF1701"/>
    <w:rsid w:val="00E03644"/>
    <w:rsid w:val="00E07F7A"/>
    <w:rsid w:val="00E33A66"/>
    <w:rsid w:val="00E41635"/>
    <w:rsid w:val="00E43954"/>
    <w:rsid w:val="00E443F2"/>
    <w:rsid w:val="00E44BC2"/>
    <w:rsid w:val="00E46FE8"/>
    <w:rsid w:val="00E577D8"/>
    <w:rsid w:val="00E6141F"/>
    <w:rsid w:val="00E64394"/>
    <w:rsid w:val="00E72FE5"/>
    <w:rsid w:val="00E737CE"/>
    <w:rsid w:val="00E917BC"/>
    <w:rsid w:val="00ED6CE3"/>
    <w:rsid w:val="00EE76BC"/>
    <w:rsid w:val="00EF0FE7"/>
    <w:rsid w:val="00F06D27"/>
    <w:rsid w:val="00F23B96"/>
    <w:rsid w:val="00F2753A"/>
    <w:rsid w:val="00F33434"/>
    <w:rsid w:val="00F3447C"/>
    <w:rsid w:val="00F71906"/>
    <w:rsid w:val="00F733E5"/>
    <w:rsid w:val="00F73DB1"/>
    <w:rsid w:val="00F75088"/>
    <w:rsid w:val="00F84CBF"/>
    <w:rsid w:val="00FA581E"/>
    <w:rsid w:val="00FA64C0"/>
    <w:rsid w:val="00FD1C1E"/>
    <w:rsid w:val="00FE170E"/>
    <w:rsid w:val="00FE7ACB"/>
    <w:rsid w:val="00FF3967"/>
    <w:rsid w:val="00FF455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2A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83BB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3BBD"/>
    <w:rPr>
      <w:rFonts w:ascii="Tahoma" w:hAnsi="Tahoma" w:cs="Tahoma"/>
      <w:sz w:val="16"/>
      <w:szCs w:val="16"/>
    </w:rPr>
  </w:style>
  <w:style w:type="character" w:styleId="Marquedecommentaire">
    <w:name w:val="annotation reference"/>
    <w:basedOn w:val="Policepardfaut"/>
    <w:uiPriority w:val="99"/>
    <w:semiHidden/>
    <w:unhideWhenUsed/>
    <w:rsid w:val="00ED6CE3"/>
    <w:rPr>
      <w:sz w:val="16"/>
      <w:szCs w:val="16"/>
    </w:rPr>
  </w:style>
  <w:style w:type="paragraph" w:styleId="Commentaire">
    <w:name w:val="annotation text"/>
    <w:basedOn w:val="Normal"/>
    <w:link w:val="CommentaireCar"/>
    <w:uiPriority w:val="99"/>
    <w:semiHidden/>
    <w:unhideWhenUsed/>
    <w:rsid w:val="00ED6CE3"/>
    <w:pPr>
      <w:spacing w:line="240" w:lineRule="auto"/>
    </w:pPr>
    <w:rPr>
      <w:sz w:val="20"/>
      <w:szCs w:val="20"/>
    </w:rPr>
  </w:style>
  <w:style w:type="character" w:customStyle="1" w:styleId="CommentaireCar">
    <w:name w:val="Commentaire Car"/>
    <w:basedOn w:val="Policepardfaut"/>
    <w:link w:val="Commentaire"/>
    <w:uiPriority w:val="99"/>
    <w:semiHidden/>
    <w:rsid w:val="00ED6CE3"/>
    <w:rPr>
      <w:sz w:val="20"/>
      <w:szCs w:val="20"/>
    </w:rPr>
  </w:style>
  <w:style w:type="paragraph" w:styleId="Objetducommentaire">
    <w:name w:val="annotation subject"/>
    <w:basedOn w:val="Commentaire"/>
    <w:next w:val="Commentaire"/>
    <w:link w:val="ObjetducommentaireCar"/>
    <w:uiPriority w:val="99"/>
    <w:semiHidden/>
    <w:unhideWhenUsed/>
    <w:rsid w:val="00ED6CE3"/>
    <w:rPr>
      <w:b/>
      <w:bCs/>
    </w:rPr>
  </w:style>
  <w:style w:type="character" w:customStyle="1" w:styleId="ObjetducommentaireCar">
    <w:name w:val="Objet du commentaire Car"/>
    <w:basedOn w:val="CommentaireCar"/>
    <w:link w:val="Objetducommentaire"/>
    <w:uiPriority w:val="99"/>
    <w:semiHidden/>
    <w:rsid w:val="00ED6CE3"/>
    <w:rPr>
      <w:b/>
      <w:bCs/>
      <w:sz w:val="20"/>
      <w:szCs w:val="20"/>
    </w:rPr>
  </w:style>
  <w:style w:type="paragraph" w:styleId="Paragraphedeliste">
    <w:name w:val="List Paragraph"/>
    <w:basedOn w:val="Normal"/>
    <w:uiPriority w:val="34"/>
    <w:qFormat/>
    <w:rsid w:val="001C6A4B"/>
    <w:pPr>
      <w:ind w:left="720"/>
      <w:contextualSpacing/>
    </w:pPr>
  </w:style>
  <w:style w:type="paragraph" w:styleId="Rvision">
    <w:name w:val="Revision"/>
    <w:hidden/>
    <w:uiPriority w:val="99"/>
    <w:semiHidden/>
    <w:rsid w:val="00E577D8"/>
    <w:pPr>
      <w:spacing w:after="0" w:line="240" w:lineRule="auto"/>
    </w:pPr>
  </w:style>
  <w:style w:type="paragraph" w:styleId="Notedebasdepage">
    <w:name w:val="footnote text"/>
    <w:basedOn w:val="Normal"/>
    <w:link w:val="NotedebasdepageCar"/>
    <w:uiPriority w:val="99"/>
    <w:unhideWhenUsed/>
    <w:rsid w:val="004B37E5"/>
    <w:pPr>
      <w:spacing w:after="0" w:line="240" w:lineRule="auto"/>
    </w:pPr>
    <w:rPr>
      <w:sz w:val="24"/>
      <w:szCs w:val="24"/>
    </w:rPr>
  </w:style>
  <w:style w:type="character" w:customStyle="1" w:styleId="NotedebasdepageCar">
    <w:name w:val="Note de bas de page Car"/>
    <w:basedOn w:val="Policepardfaut"/>
    <w:link w:val="Notedebasdepage"/>
    <w:uiPriority w:val="99"/>
    <w:rsid w:val="004B37E5"/>
    <w:rPr>
      <w:sz w:val="24"/>
      <w:szCs w:val="24"/>
    </w:rPr>
  </w:style>
  <w:style w:type="character" w:styleId="Appelnotedebasdep">
    <w:name w:val="footnote reference"/>
    <w:basedOn w:val="Policepardfaut"/>
    <w:uiPriority w:val="99"/>
    <w:unhideWhenUsed/>
    <w:rsid w:val="004B37E5"/>
    <w:rPr>
      <w:vertAlign w:val="superscript"/>
    </w:rPr>
  </w:style>
  <w:style w:type="character" w:styleId="Appeldenotedefin">
    <w:name w:val="endnote reference"/>
    <w:basedOn w:val="Policepardfaut"/>
    <w:uiPriority w:val="99"/>
    <w:semiHidden/>
    <w:unhideWhenUsed/>
    <w:rsid w:val="00496D6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2A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83BB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3BBD"/>
    <w:rPr>
      <w:rFonts w:ascii="Tahoma" w:hAnsi="Tahoma" w:cs="Tahoma"/>
      <w:sz w:val="16"/>
      <w:szCs w:val="16"/>
    </w:rPr>
  </w:style>
  <w:style w:type="character" w:styleId="Marquedannotation">
    <w:name w:val="annotation reference"/>
    <w:basedOn w:val="Policepardfaut"/>
    <w:uiPriority w:val="99"/>
    <w:semiHidden/>
    <w:unhideWhenUsed/>
    <w:rsid w:val="00ED6CE3"/>
    <w:rPr>
      <w:sz w:val="16"/>
      <w:szCs w:val="16"/>
    </w:rPr>
  </w:style>
  <w:style w:type="paragraph" w:styleId="Commentaire">
    <w:name w:val="annotation text"/>
    <w:basedOn w:val="Normal"/>
    <w:link w:val="CommentaireCar"/>
    <w:uiPriority w:val="99"/>
    <w:semiHidden/>
    <w:unhideWhenUsed/>
    <w:rsid w:val="00ED6CE3"/>
    <w:pPr>
      <w:spacing w:line="240" w:lineRule="auto"/>
    </w:pPr>
    <w:rPr>
      <w:sz w:val="20"/>
      <w:szCs w:val="20"/>
    </w:rPr>
  </w:style>
  <w:style w:type="character" w:customStyle="1" w:styleId="CommentaireCar">
    <w:name w:val="Commentaire Car"/>
    <w:basedOn w:val="Policepardfaut"/>
    <w:link w:val="Commentaire"/>
    <w:uiPriority w:val="99"/>
    <w:semiHidden/>
    <w:rsid w:val="00ED6CE3"/>
    <w:rPr>
      <w:sz w:val="20"/>
      <w:szCs w:val="20"/>
    </w:rPr>
  </w:style>
  <w:style w:type="paragraph" w:styleId="Objetducommentaire">
    <w:name w:val="annotation subject"/>
    <w:basedOn w:val="Commentaire"/>
    <w:next w:val="Commentaire"/>
    <w:link w:val="ObjetducommentaireCar"/>
    <w:uiPriority w:val="99"/>
    <w:semiHidden/>
    <w:unhideWhenUsed/>
    <w:rsid w:val="00ED6CE3"/>
    <w:rPr>
      <w:b/>
      <w:bCs/>
    </w:rPr>
  </w:style>
  <w:style w:type="character" w:customStyle="1" w:styleId="ObjetducommentaireCar">
    <w:name w:val="Objet du commentaire Car"/>
    <w:basedOn w:val="CommentaireCar"/>
    <w:link w:val="Objetducommentaire"/>
    <w:uiPriority w:val="99"/>
    <w:semiHidden/>
    <w:rsid w:val="00ED6CE3"/>
    <w:rPr>
      <w:b/>
      <w:bCs/>
      <w:sz w:val="20"/>
      <w:szCs w:val="20"/>
    </w:rPr>
  </w:style>
  <w:style w:type="paragraph" w:styleId="Paragraphedeliste">
    <w:name w:val="List Paragraph"/>
    <w:basedOn w:val="Normal"/>
    <w:uiPriority w:val="34"/>
    <w:qFormat/>
    <w:rsid w:val="001C6A4B"/>
    <w:pPr>
      <w:ind w:left="720"/>
      <w:contextualSpacing/>
    </w:pPr>
  </w:style>
  <w:style w:type="paragraph" w:styleId="Rvision">
    <w:name w:val="Revision"/>
    <w:hidden/>
    <w:uiPriority w:val="99"/>
    <w:semiHidden/>
    <w:rsid w:val="00E577D8"/>
    <w:pPr>
      <w:spacing w:after="0" w:line="240" w:lineRule="auto"/>
    </w:pPr>
  </w:style>
  <w:style w:type="paragraph" w:styleId="Notedebasdepage">
    <w:name w:val="footnote text"/>
    <w:basedOn w:val="Normal"/>
    <w:link w:val="NotedebasdepageCar"/>
    <w:uiPriority w:val="99"/>
    <w:unhideWhenUsed/>
    <w:rsid w:val="004B37E5"/>
    <w:pPr>
      <w:spacing w:after="0" w:line="240" w:lineRule="auto"/>
    </w:pPr>
    <w:rPr>
      <w:sz w:val="24"/>
      <w:szCs w:val="24"/>
    </w:rPr>
  </w:style>
  <w:style w:type="character" w:customStyle="1" w:styleId="NotedebasdepageCar">
    <w:name w:val="Note de bas de page Car"/>
    <w:basedOn w:val="Policepardfaut"/>
    <w:link w:val="Notedebasdepage"/>
    <w:uiPriority w:val="99"/>
    <w:rsid w:val="004B37E5"/>
    <w:rPr>
      <w:sz w:val="24"/>
      <w:szCs w:val="24"/>
    </w:rPr>
  </w:style>
  <w:style w:type="character" w:styleId="Marquenotebasdepage">
    <w:name w:val="footnote reference"/>
    <w:basedOn w:val="Policepardfaut"/>
    <w:uiPriority w:val="99"/>
    <w:unhideWhenUsed/>
    <w:rsid w:val="004B37E5"/>
    <w:rPr>
      <w:vertAlign w:val="superscript"/>
    </w:rPr>
  </w:style>
  <w:style w:type="character" w:styleId="Marquedenotedefin">
    <w:name w:val="endnote reference"/>
    <w:basedOn w:val="Policepardfaut"/>
    <w:uiPriority w:val="99"/>
    <w:semiHidden/>
    <w:unhideWhenUsed/>
    <w:rsid w:val="00496D66"/>
    <w:rPr>
      <w:vertAlign w:val="superscript"/>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50576-284B-4C19-9BF4-74270020B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750</Words>
  <Characters>4125</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IRD</Company>
  <LinksUpToDate>false</LinksUpToDate>
  <CharactersWithSpaces>4866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 et barbs</dc:creator>
  <cp:lastModifiedBy>user</cp:lastModifiedBy>
  <cp:revision>2</cp:revision>
  <cp:lastPrinted>2016-02-11T13:19:00Z</cp:lastPrinted>
  <dcterms:created xsi:type="dcterms:W3CDTF">2016-02-11T13:24:00Z</dcterms:created>
  <dcterms:modified xsi:type="dcterms:W3CDTF">2016-02-11T13:24:00Z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williams.dare@cirad.fr@www.mendeley.com</vt:lpwstr>
  </property>
  <property fmtid="{D5CDD505-2E9C-101B-9397-08002B2CF9AE}" pid="4" name="Mendeley Citation Style_1">
    <vt:lpwstr>http://www.zotero.org/styles/harvard1</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(author-date)</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http://www.zotero.org/styles/water-resources-and-rural-development</vt:lpwstr>
  </property>
  <property fmtid="{D5CDD505-2E9C-101B-9397-08002B2CF9AE}" pid="24" name="Mendeley Recent Style Name 9_1">
    <vt:lpwstr>Water resources and rural development</vt:lpwstr>
  </property>
</Properties>
</file>